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630"/>
        <w:gridCol w:w="9160"/>
      </w:tblGrid>
      <w:tr w:rsidR="00E276B5" w:rsidTr="00730A93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E276B5" w:rsidRDefault="0021613D" w:rsidP="00B50965">
            <w:bookmarkStart w:id="0" w:name="_GoBack"/>
            <w:bookmarkEnd w:id="0"/>
            <w:r>
              <w:t>Code: 0=None; 1=Minimal, may be extreme normal; 2=Mild; 3=Moderate; 4=Severe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47"/>
        </w:trPr>
        <w:tc>
          <w:tcPr>
            <w:tcW w:w="10916" w:type="dxa"/>
            <w:gridSpan w:val="2"/>
          </w:tcPr>
          <w:p w:rsidR="006E3B1B" w:rsidRDefault="006E3B1B" w:rsidP="00B50965">
            <w:r w:rsidRPr="00F76F63">
              <w:rPr>
                <w:b/>
              </w:rPr>
              <w:t>Movement Ratings:</w:t>
            </w:r>
            <w:r>
              <w:t xml:space="preserve"> Rate highest severity observed. Rate movements that occur upon activation one less than those observed spontaneously.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1635" w:type="dxa"/>
            <w:vMerge w:val="restart"/>
          </w:tcPr>
          <w:p w:rsidR="006E3B1B" w:rsidRDefault="006E3B1B" w:rsidP="00B50965">
            <w:r>
              <w:t>Facial and</w:t>
            </w:r>
          </w:p>
          <w:p w:rsidR="006E3B1B" w:rsidRDefault="006E3B1B" w:rsidP="00B50965">
            <w:r>
              <w:t>Oral</w:t>
            </w:r>
          </w:p>
          <w:p w:rsidR="006E3B1B" w:rsidRDefault="006E3B1B" w:rsidP="00B50965">
            <w:r>
              <w:t>Movements</w:t>
            </w:r>
          </w:p>
        </w:tc>
        <w:tc>
          <w:tcPr>
            <w:tcW w:w="9281" w:type="dxa"/>
          </w:tcPr>
          <w:p w:rsidR="006E3B1B" w:rsidRDefault="006E3B1B" w:rsidP="008F5786">
            <w:r w:rsidRPr="00F76F63">
              <w:rPr>
                <w:b/>
              </w:rPr>
              <w:t>1. Muscles of Facial Expression</w:t>
            </w:r>
            <w:r>
              <w:rPr>
                <w:b/>
              </w:rPr>
              <w:t xml:space="preserve"> </w:t>
            </w:r>
            <w:r>
              <w:t xml:space="preserve">e.g., movements of forehead, eyebrows, periorbital area, cheeks, including frowning, blinking, smiling, grimacing. </w:t>
            </w:r>
          </w:p>
          <w:p w:rsidR="006E3B1B" w:rsidRPr="009530AB" w:rsidRDefault="006E3B1B" w:rsidP="008F5786">
            <w:pPr>
              <w:rPr>
                <w:b/>
              </w:rPr>
            </w:pPr>
            <w:r w:rsidRPr="009530AB">
              <w:rPr>
                <w:b/>
              </w:rPr>
              <w:t>&amp;cltasm12904&amp;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1635" w:type="dxa"/>
            <w:vMerge/>
          </w:tcPr>
          <w:p w:rsidR="006E3B1B" w:rsidRDefault="006E3B1B" w:rsidP="008F5786"/>
        </w:tc>
        <w:tc>
          <w:tcPr>
            <w:tcW w:w="9281" w:type="dxa"/>
          </w:tcPr>
          <w:p w:rsidR="006E3B1B" w:rsidRDefault="006E3B1B" w:rsidP="00DF6FE4">
            <w:r w:rsidRPr="00F76F63">
              <w:rPr>
                <w:b/>
              </w:rPr>
              <w:t>2. Lips and Perioral Area</w:t>
            </w:r>
            <w:r>
              <w:rPr>
                <w:b/>
              </w:rPr>
              <w:t xml:space="preserve"> </w:t>
            </w:r>
            <w:r>
              <w:t>e.g., puckering,  pouting, smacking.</w:t>
            </w:r>
          </w:p>
          <w:p w:rsidR="006E3B1B" w:rsidRPr="009530AB" w:rsidRDefault="006E3B1B" w:rsidP="00DF6FE4">
            <w:pPr>
              <w:rPr>
                <w:b/>
              </w:rPr>
            </w:pPr>
            <w:r w:rsidRPr="009530AB">
              <w:rPr>
                <w:b/>
              </w:rPr>
              <w:t>&amp;cltasm12905&amp;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1635" w:type="dxa"/>
            <w:vMerge/>
          </w:tcPr>
          <w:p w:rsidR="006E3B1B" w:rsidRDefault="006E3B1B" w:rsidP="008F5786"/>
        </w:tc>
        <w:tc>
          <w:tcPr>
            <w:tcW w:w="9281" w:type="dxa"/>
          </w:tcPr>
          <w:p w:rsidR="006E3B1B" w:rsidRDefault="006E3B1B" w:rsidP="008F5786">
            <w:r w:rsidRPr="00F76F63">
              <w:rPr>
                <w:b/>
              </w:rPr>
              <w:t>3. Jaw</w:t>
            </w:r>
            <w:r>
              <w:t xml:space="preserve"> e.g., biting, clenching, chewing, mouth opening, lateral movement.</w:t>
            </w:r>
          </w:p>
          <w:p w:rsidR="006E3B1B" w:rsidRPr="009530AB" w:rsidRDefault="006E3B1B" w:rsidP="008F5786">
            <w:pPr>
              <w:rPr>
                <w:b/>
              </w:rPr>
            </w:pPr>
            <w:r w:rsidRPr="009530AB">
              <w:rPr>
                <w:b/>
              </w:rPr>
              <w:t>&amp;cltasm12906&amp;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1635" w:type="dxa"/>
            <w:vMerge/>
          </w:tcPr>
          <w:p w:rsidR="006E3B1B" w:rsidRDefault="006E3B1B" w:rsidP="008F5786"/>
        </w:tc>
        <w:tc>
          <w:tcPr>
            <w:tcW w:w="9281" w:type="dxa"/>
          </w:tcPr>
          <w:p w:rsidR="006E3B1B" w:rsidRDefault="006E3B1B" w:rsidP="008F5786">
            <w:r w:rsidRPr="00F76F63">
              <w:rPr>
                <w:b/>
              </w:rPr>
              <w:t>4. Tongue</w:t>
            </w:r>
            <w:r>
              <w:t xml:space="preserve"> Rate only increases in movement both in and out of mouth. NOT inability to sustain movement. Darting in and out of mouth.</w:t>
            </w:r>
          </w:p>
          <w:p w:rsidR="006E3B1B" w:rsidRPr="009530AB" w:rsidRDefault="006E3B1B" w:rsidP="008F5786">
            <w:pPr>
              <w:rPr>
                <w:b/>
              </w:rPr>
            </w:pPr>
            <w:r w:rsidRPr="009530AB">
              <w:rPr>
                <w:b/>
              </w:rPr>
              <w:t>&amp;cltasm12907&amp;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160"/>
        </w:trPr>
        <w:tc>
          <w:tcPr>
            <w:tcW w:w="1635" w:type="dxa"/>
            <w:vMerge w:val="restart"/>
          </w:tcPr>
          <w:p w:rsidR="006E3B1B" w:rsidRDefault="006E3B1B" w:rsidP="008F5786">
            <w:r>
              <w:t>Extremity</w:t>
            </w:r>
          </w:p>
          <w:p w:rsidR="006E3B1B" w:rsidRDefault="006E3B1B" w:rsidP="008F5786">
            <w:r>
              <w:t xml:space="preserve">Movements </w:t>
            </w:r>
          </w:p>
        </w:tc>
        <w:tc>
          <w:tcPr>
            <w:tcW w:w="9281" w:type="dxa"/>
          </w:tcPr>
          <w:p w:rsidR="006E3B1B" w:rsidRDefault="006E3B1B" w:rsidP="00DF6FE4">
            <w:r w:rsidRPr="002A1F98">
              <w:rPr>
                <w:b/>
              </w:rPr>
              <w:t>5. Upper (arms, wrists, hands, fingers)</w:t>
            </w:r>
            <w:r>
              <w:rPr>
                <w:b/>
              </w:rPr>
              <w:t xml:space="preserve"> </w:t>
            </w:r>
            <w:r>
              <w:t>Include choreic movements (i.e., rapid, objectively purposeless, irregular, spontaneous) athetoid movements (i.e., slow, irregular, complex, serpentine). DO NOT INCLUDE TREMOR (i.e., repetitive, regular, rhythmic).</w:t>
            </w:r>
          </w:p>
          <w:p w:rsidR="006E3B1B" w:rsidRPr="009530AB" w:rsidRDefault="006E3B1B" w:rsidP="00DF6FE4">
            <w:pPr>
              <w:rPr>
                <w:b/>
              </w:rPr>
            </w:pPr>
            <w:r w:rsidRPr="009530AB">
              <w:rPr>
                <w:b/>
              </w:rPr>
              <w:t>&amp;cltasm12908&amp;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890"/>
        </w:trPr>
        <w:tc>
          <w:tcPr>
            <w:tcW w:w="1635" w:type="dxa"/>
            <w:vMerge/>
          </w:tcPr>
          <w:p w:rsidR="006E3B1B" w:rsidRDefault="006E3B1B" w:rsidP="008F5786"/>
        </w:tc>
        <w:tc>
          <w:tcPr>
            <w:tcW w:w="9281" w:type="dxa"/>
          </w:tcPr>
          <w:p w:rsidR="006E3B1B" w:rsidRDefault="006E3B1B" w:rsidP="008A54DA">
            <w:r w:rsidRPr="002A1F98">
              <w:rPr>
                <w:b/>
              </w:rPr>
              <w:t>6. Lower (legs, knees, ankles, toes)</w:t>
            </w:r>
            <w:r>
              <w:rPr>
                <w:b/>
              </w:rPr>
              <w:t xml:space="preserve"> </w:t>
            </w:r>
            <w:r>
              <w:t>e.g., lateral knee movement, foot tapping, heel dropping, foot squirming, inversion and eversion of foot.</w:t>
            </w:r>
          </w:p>
          <w:p w:rsidR="006E3B1B" w:rsidRPr="009530AB" w:rsidRDefault="006E3B1B" w:rsidP="008A54DA">
            <w:pPr>
              <w:rPr>
                <w:b/>
              </w:rPr>
            </w:pPr>
            <w:r w:rsidRPr="009530AB">
              <w:rPr>
                <w:b/>
              </w:rPr>
              <w:t>&amp;cltasm12909&amp;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20"/>
        </w:trPr>
        <w:tc>
          <w:tcPr>
            <w:tcW w:w="1635" w:type="dxa"/>
          </w:tcPr>
          <w:p w:rsidR="006E3B1B" w:rsidRDefault="006E3B1B" w:rsidP="008F5786">
            <w:r>
              <w:t xml:space="preserve">Trunk </w:t>
            </w:r>
          </w:p>
          <w:p w:rsidR="006E3B1B" w:rsidRDefault="006E3B1B" w:rsidP="008F5786">
            <w:r>
              <w:t xml:space="preserve">Movements </w:t>
            </w:r>
          </w:p>
        </w:tc>
        <w:tc>
          <w:tcPr>
            <w:tcW w:w="9281" w:type="dxa"/>
          </w:tcPr>
          <w:p w:rsidR="006E3B1B" w:rsidRDefault="006E3B1B" w:rsidP="008F5786">
            <w:r w:rsidRPr="002A1F98">
              <w:rPr>
                <w:b/>
              </w:rPr>
              <w:t>7. Neck, shoulders, hips</w:t>
            </w:r>
            <w:r>
              <w:t xml:space="preserve"> e.g., rocking, twisting, squirming, pelvic gyrations.</w:t>
            </w:r>
          </w:p>
          <w:p w:rsidR="006E3B1B" w:rsidRPr="009530AB" w:rsidRDefault="006E3B1B" w:rsidP="008F5786">
            <w:pPr>
              <w:rPr>
                <w:b/>
              </w:rPr>
            </w:pPr>
            <w:r w:rsidRPr="009530AB">
              <w:rPr>
                <w:b/>
              </w:rPr>
              <w:t>&amp;cltasm12910&amp;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1635" w:type="dxa"/>
            <w:vMerge w:val="restart"/>
          </w:tcPr>
          <w:p w:rsidR="006E3B1B" w:rsidRDefault="006E3B1B" w:rsidP="008F5786">
            <w:r>
              <w:t xml:space="preserve">Global </w:t>
            </w:r>
          </w:p>
          <w:p w:rsidR="006E3B1B" w:rsidRDefault="006E3B1B" w:rsidP="008F5786">
            <w:r>
              <w:t xml:space="preserve">Judgments </w:t>
            </w:r>
          </w:p>
        </w:tc>
        <w:tc>
          <w:tcPr>
            <w:tcW w:w="9281" w:type="dxa"/>
          </w:tcPr>
          <w:p w:rsidR="006E3B1B" w:rsidRDefault="006E3B1B" w:rsidP="008F5786">
            <w:pPr>
              <w:rPr>
                <w:b/>
              </w:rPr>
            </w:pPr>
            <w:r w:rsidRPr="002A1F98">
              <w:rPr>
                <w:b/>
              </w:rPr>
              <w:t>8. Severity of abnormal movements overall</w:t>
            </w:r>
          </w:p>
          <w:p w:rsidR="006E3B1B" w:rsidRPr="009530AB" w:rsidRDefault="006E3B1B" w:rsidP="008F5786">
            <w:pPr>
              <w:rPr>
                <w:b/>
              </w:rPr>
            </w:pPr>
            <w:r w:rsidRPr="009530AB">
              <w:rPr>
                <w:b/>
              </w:rPr>
              <w:t>&amp;cltasm12911&amp;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1635" w:type="dxa"/>
            <w:vMerge/>
          </w:tcPr>
          <w:p w:rsidR="006E3B1B" w:rsidRDefault="006E3B1B" w:rsidP="008F5786"/>
        </w:tc>
        <w:tc>
          <w:tcPr>
            <w:tcW w:w="9281" w:type="dxa"/>
          </w:tcPr>
          <w:p w:rsidR="006E3B1B" w:rsidRDefault="006E3B1B" w:rsidP="008F5786">
            <w:pPr>
              <w:rPr>
                <w:b/>
              </w:rPr>
            </w:pPr>
            <w:r w:rsidRPr="002A1F98">
              <w:rPr>
                <w:b/>
              </w:rPr>
              <w:t>9. Incapacitation due to abnormal movements</w:t>
            </w:r>
          </w:p>
          <w:p w:rsidR="006E3B1B" w:rsidRPr="009530AB" w:rsidRDefault="006E3B1B" w:rsidP="008F5786">
            <w:pPr>
              <w:rPr>
                <w:b/>
              </w:rPr>
            </w:pPr>
            <w:r w:rsidRPr="009530AB">
              <w:rPr>
                <w:b/>
              </w:rPr>
              <w:t>&amp;cltasm12912&amp;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1635" w:type="dxa"/>
            <w:vMerge/>
          </w:tcPr>
          <w:p w:rsidR="006E3B1B" w:rsidRDefault="006E3B1B" w:rsidP="008F5786"/>
        </w:tc>
        <w:tc>
          <w:tcPr>
            <w:tcW w:w="9281" w:type="dxa"/>
          </w:tcPr>
          <w:p w:rsidR="006E3B1B" w:rsidRDefault="006E3B1B" w:rsidP="008F5786">
            <w:r w:rsidRPr="002A1F98">
              <w:rPr>
                <w:b/>
              </w:rPr>
              <w:t>10. Patient’s awareness of abnormal movements.</w:t>
            </w:r>
            <w:r>
              <w:t xml:space="preserve"> Rate only patient’s report</w:t>
            </w:r>
          </w:p>
          <w:p w:rsidR="006E3B1B" w:rsidRPr="009530AB" w:rsidRDefault="006E3B1B" w:rsidP="008F5786">
            <w:pPr>
              <w:rPr>
                <w:b/>
              </w:rPr>
            </w:pPr>
            <w:r w:rsidRPr="009530AB">
              <w:rPr>
                <w:b/>
              </w:rPr>
              <w:t>&amp;cltasm12913&amp;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1635" w:type="dxa"/>
            <w:vMerge w:val="restart"/>
          </w:tcPr>
          <w:p w:rsidR="006E3B1B" w:rsidRDefault="006E3B1B" w:rsidP="008F5786">
            <w:r>
              <w:t>Dental Status</w:t>
            </w:r>
          </w:p>
        </w:tc>
        <w:tc>
          <w:tcPr>
            <w:tcW w:w="9281" w:type="dxa"/>
          </w:tcPr>
          <w:p w:rsidR="006E3B1B" w:rsidRDefault="006E3B1B" w:rsidP="008F5786">
            <w:pPr>
              <w:rPr>
                <w:b/>
              </w:rPr>
            </w:pPr>
            <w:r w:rsidRPr="003D5F04">
              <w:rPr>
                <w:b/>
              </w:rPr>
              <w:t>11. Current problems with teeth and/or dentures</w:t>
            </w:r>
          </w:p>
          <w:p w:rsidR="006E3B1B" w:rsidRPr="009530AB" w:rsidRDefault="006E3B1B" w:rsidP="008F5786">
            <w:pPr>
              <w:rPr>
                <w:b/>
              </w:rPr>
            </w:pPr>
            <w:r w:rsidRPr="009530AB">
              <w:rPr>
                <w:b/>
              </w:rPr>
              <w:t>&amp;cltasm12914&amp;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1635" w:type="dxa"/>
            <w:vMerge/>
          </w:tcPr>
          <w:p w:rsidR="006E3B1B" w:rsidRDefault="006E3B1B" w:rsidP="008F5786"/>
        </w:tc>
        <w:tc>
          <w:tcPr>
            <w:tcW w:w="9281" w:type="dxa"/>
          </w:tcPr>
          <w:p w:rsidR="006E3B1B" w:rsidRDefault="006E3B1B" w:rsidP="008F5786">
            <w:pPr>
              <w:rPr>
                <w:b/>
              </w:rPr>
            </w:pPr>
            <w:r w:rsidRPr="003D5F04">
              <w:rPr>
                <w:b/>
              </w:rPr>
              <w:t>12. Are Dentures usually worn?</w:t>
            </w:r>
          </w:p>
          <w:p w:rsidR="006E3B1B" w:rsidRPr="009530AB" w:rsidRDefault="006E3B1B" w:rsidP="008F5786">
            <w:pPr>
              <w:rPr>
                <w:b/>
              </w:rPr>
            </w:pPr>
            <w:r w:rsidRPr="009530AB">
              <w:rPr>
                <w:b/>
              </w:rPr>
              <w:t>&amp;cltasm12915&amp;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0"/>
        </w:trPr>
        <w:tc>
          <w:tcPr>
            <w:tcW w:w="1635" w:type="dxa"/>
            <w:vMerge/>
          </w:tcPr>
          <w:p w:rsidR="006E3B1B" w:rsidRDefault="006E3B1B" w:rsidP="008F5786"/>
        </w:tc>
        <w:tc>
          <w:tcPr>
            <w:tcW w:w="9281" w:type="dxa"/>
          </w:tcPr>
          <w:p w:rsidR="006E3B1B" w:rsidRDefault="006E3B1B" w:rsidP="008F5786">
            <w:pPr>
              <w:rPr>
                <w:b/>
              </w:rPr>
            </w:pPr>
            <w:r w:rsidRPr="003D5F04">
              <w:rPr>
                <w:b/>
              </w:rPr>
              <w:t>13. Edentia?</w:t>
            </w:r>
          </w:p>
          <w:p w:rsidR="006E3B1B" w:rsidRPr="009530AB" w:rsidRDefault="006E3B1B" w:rsidP="008F5786">
            <w:pPr>
              <w:rPr>
                <w:b/>
              </w:rPr>
            </w:pPr>
            <w:r w:rsidRPr="009530AB">
              <w:rPr>
                <w:b/>
              </w:rPr>
              <w:t>&amp;cltasm12916&amp;</w:t>
            </w:r>
          </w:p>
        </w:tc>
      </w:tr>
      <w:tr w:rsidR="006E3B1B" w:rsidTr="006E3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1635" w:type="dxa"/>
          </w:tcPr>
          <w:p w:rsidR="006E3B1B" w:rsidRDefault="006E3B1B" w:rsidP="008F5786"/>
        </w:tc>
        <w:tc>
          <w:tcPr>
            <w:tcW w:w="9281" w:type="dxa"/>
          </w:tcPr>
          <w:p w:rsidR="006E3B1B" w:rsidRDefault="006E3B1B" w:rsidP="008F5786">
            <w:pPr>
              <w:rPr>
                <w:b/>
              </w:rPr>
            </w:pPr>
            <w:r w:rsidRPr="003D5F04">
              <w:rPr>
                <w:b/>
              </w:rPr>
              <w:t>14. Do movements disappear in sleep?</w:t>
            </w:r>
          </w:p>
          <w:p w:rsidR="006E3B1B" w:rsidRPr="009530AB" w:rsidRDefault="006E3B1B" w:rsidP="008F5786">
            <w:pPr>
              <w:rPr>
                <w:b/>
              </w:rPr>
            </w:pPr>
            <w:r w:rsidRPr="009530AB">
              <w:rPr>
                <w:b/>
              </w:rPr>
              <w:t>&amp;cltasm12917&amp;</w:t>
            </w:r>
          </w:p>
        </w:tc>
      </w:tr>
    </w:tbl>
    <w:p w:rsidR="0021613D" w:rsidRDefault="0021613D" w:rsidP="003D5F04"/>
    <w:tbl>
      <w:tblPr>
        <w:tblW w:w="10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90"/>
      </w:tblGrid>
      <w:tr w:rsidR="00ED377E" w:rsidTr="00ED377E">
        <w:trPr>
          <w:trHeight w:val="288"/>
          <w:jc w:val="center"/>
        </w:trPr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377E" w:rsidRDefault="00ED377E" w:rsidP="00EC23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/>
              </w:rPr>
            </w:pPr>
            <w:r>
              <w:rPr>
                <w:rFonts w:ascii="Cambria" w:hAnsi="Cambria" w:cs="Arial"/>
                <w:b/>
                <w:color w:val="000000"/>
              </w:rPr>
              <w:t>Provider’s Signature</w:t>
            </w:r>
          </w:p>
        </w:tc>
      </w:tr>
      <w:tr w:rsidR="00ED377E" w:rsidTr="00ED377E">
        <w:trPr>
          <w:trHeight w:val="288"/>
          <w:jc w:val="center"/>
        </w:trPr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77E" w:rsidRDefault="00ED377E" w:rsidP="00EC239B">
            <w:pPr>
              <w:pStyle w:val="NoSpacing"/>
              <w:rPr>
                <w:rFonts w:ascii="Cambria" w:eastAsia="Calibri" w:hAnsi="Cambria"/>
                <w:b/>
                <w:sz w:val="16"/>
                <w:szCs w:val="16"/>
              </w:rPr>
            </w:pPr>
            <w:r>
              <w:rPr>
                <w:rFonts w:ascii="Cambria" w:eastAsia="Calibri" w:hAnsi="Cambria"/>
                <w:b/>
                <w:sz w:val="16"/>
                <w:szCs w:val="16"/>
              </w:rPr>
              <w:t>Staff Signature/Credentials/Date</w:t>
            </w:r>
          </w:p>
          <w:p w:rsidR="00ED377E" w:rsidRDefault="00ED377E" w:rsidP="00EC239B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Arial"/>
                <w:b/>
                <w:color w:val="000000"/>
              </w:rPr>
            </w:pPr>
            <w:r>
              <w:rPr>
                <w:rFonts w:ascii="Cambria" w:eastAsia="Calibri" w:hAnsi="Cambria"/>
                <w:sz w:val="16"/>
                <w:szCs w:val="16"/>
              </w:rPr>
              <w:t>&amp;STFCONSENTX&amp;</w:t>
            </w:r>
          </w:p>
        </w:tc>
      </w:tr>
    </w:tbl>
    <w:p w:rsidR="003D5F04" w:rsidRDefault="003D5F04" w:rsidP="003D5F04"/>
    <w:p w:rsidR="008F5786" w:rsidRDefault="008F5786"/>
    <w:sectPr w:rsidR="008F5786" w:rsidSect="00806386">
      <w:headerReference w:type="default" r:id="rId7"/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2EA" w:rsidRDefault="00DE42EA">
      <w:r>
        <w:separator/>
      </w:r>
    </w:p>
  </w:endnote>
  <w:endnote w:type="continuationSeparator" w:id="0">
    <w:p w:rsidR="00DE42EA" w:rsidRDefault="00DE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F75B31" w:rsidRPr="00777456" w:rsidTr="00777456">
      <w:trPr>
        <w:jc w:val="center"/>
      </w:trPr>
      <w:tc>
        <w:tcPr>
          <w:tcW w:w="3858" w:type="dxa"/>
          <w:vAlign w:val="center"/>
        </w:tcPr>
        <w:p w:rsidR="00F75B31" w:rsidRPr="00777456" w:rsidRDefault="00F75B31" w:rsidP="007A0A25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 w:cs="Arial"/>
              <w:sz w:val="16"/>
              <w:szCs w:val="16"/>
            </w:rPr>
            <w:t>405AIMS</w:t>
          </w:r>
          <w:r w:rsidRPr="00777456">
            <w:rPr>
              <w:rFonts w:ascii="Cambria" w:hAnsi="Cambria" w:cs="Arial"/>
              <w:sz w:val="16"/>
              <w:szCs w:val="16"/>
            </w:rPr>
            <w:t xml:space="preserve"> </w:t>
          </w:r>
          <w:r>
            <w:rPr>
              <w:rFonts w:ascii="Cambria" w:hAnsi="Cambria" w:cs="Arial"/>
              <w:sz w:val="16"/>
              <w:szCs w:val="16"/>
            </w:rPr>
            <w:t>5/2016</w:t>
          </w:r>
        </w:p>
      </w:tc>
      <w:tc>
        <w:tcPr>
          <w:tcW w:w="3859" w:type="dxa"/>
          <w:vAlign w:val="center"/>
        </w:tcPr>
        <w:p w:rsidR="00F75B31" w:rsidRPr="00777456" w:rsidRDefault="00F75B31" w:rsidP="00B761B3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&amp;controlcode&amp;</w:t>
          </w:r>
        </w:p>
      </w:tc>
      <w:tc>
        <w:tcPr>
          <w:tcW w:w="3859" w:type="dxa"/>
          <w:vAlign w:val="center"/>
        </w:tcPr>
        <w:p w:rsidR="00F75B31" w:rsidRPr="00777456" w:rsidRDefault="00F75B31" w:rsidP="00777456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777456">
            <w:rPr>
              <w:rFonts w:ascii="Cambria" w:hAnsi="Cambria" w:cs="Arial"/>
              <w:bCs/>
              <w:sz w:val="16"/>
              <w:szCs w:val="16"/>
            </w:rPr>
            <w:t>Page</w:t>
          </w:r>
          <w:r w:rsidRPr="00777456">
            <w:rPr>
              <w:rFonts w:ascii="Cambria" w:hAnsi="Cambria" w:cs="Arial"/>
              <w:b/>
              <w:bCs/>
              <w:sz w:val="16"/>
              <w:szCs w:val="16"/>
            </w:rPr>
            <w:t xml:space="preserve">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PAGE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B56D9C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t xml:space="preserve"> of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NUMPAGES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B56D9C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</w:p>
      </w:tc>
    </w:tr>
  </w:tbl>
  <w:p w:rsidR="00F75B31" w:rsidRPr="00A14250" w:rsidRDefault="00F75B31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2EA" w:rsidRDefault="00DE42EA">
      <w:r>
        <w:separator/>
      </w:r>
    </w:p>
  </w:footnote>
  <w:footnote w:type="continuationSeparator" w:id="0">
    <w:p w:rsidR="00DE42EA" w:rsidRDefault="00DE4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F75B31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F75B31" w:rsidRPr="00777456" w:rsidRDefault="00F75B31" w:rsidP="00B761B3">
          <w:pPr>
            <w:pStyle w:val="Header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F75B31" w:rsidRPr="00777456" w:rsidRDefault="00F75B31" w:rsidP="00B51797">
          <w:pPr>
            <w:pStyle w:val="Header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 xml:space="preserve"> Abnormal Involuntary Movement Scale (AIMS)</w:t>
          </w:r>
        </w:p>
      </w:tc>
    </w:tr>
    <w:tr w:rsidR="00F75B31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F75B31" w:rsidRPr="00777456" w:rsidRDefault="00C62107" w:rsidP="00BE2628">
          <w:pPr>
            <w:pStyle w:val="Header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="00F75B31" w:rsidRPr="00777456">
            <w:rPr>
              <w:rFonts w:ascii="Cambria" w:hAnsi="Cambria"/>
              <w:sz w:val="16"/>
              <w:szCs w:val="16"/>
            </w:rPr>
            <w:t>Name:  &amp;cltfst&amp; &amp;cltlst&amp;</w:t>
          </w:r>
        </w:p>
      </w:tc>
      <w:tc>
        <w:tcPr>
          <w:tcW w:w="5788" w:type="dxa"/>
          <w:vAlign w:val="center"/>
        </w:tcPr>
        <w:p w:rsidR="00F75B31" w:rsidRPr="00777456" w:rsidRDefault="00F75B31" w:rsidP="00777456">
          <w:pPr>
            <w:pStyle w:val="Header"/>
            <w:jc w:val="right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>Consumer ID</w:t>
          </w:r>
          <w:r w:rsidRPr="00777456">
            <w:rPr>
              <w:rFonts w:ascii="Cambria" w:hAnsi="Cambria"/>
              <w:sz w:val="16"/>
              <w:szCs w:val="16"/>
            </w:rPr>
            <w:t>:  &amp;cltcas&amp;</w:t>
          </w:r>
        </w:p>
      </w:tc>
    </w:tr>
  </w:tbl>
  <w:p w:rsidR="00F75B31" w:rsidRPr="00BE2628" w:rsidRDefault="00F75B31">
    <w:pPr>
      <w:pStyle w:val="Header"/>
      <w:rPr>
        <w:rFonts w:ascii="Cambria" w:hAnsi="Cambria"/>
        <w:sz w:val="16"/>
        <w:szCs w:val="16"/>
      </w:rPr>
    </w:pPr>
    <w:r w:rsidRPr="00991B89"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                                              </w:t>
    </w:r>
    <w:r w:rsidRPr="00991B89">
      <w:rPr>
        <w:rFonts w:ascii="Cambria" w:hAnsi="Cambria"/>
        <w:sz w:val="16"/>
        <w:szCs w:val="1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85FF2"/>
    <w:multiLevelType w:val="hybridMultilevel"/>
    <w:tmpl w:val="D0F01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DE2B45"/>
    <w:multiLevelType w:val="hybridMultilevel"/>
    <w:tmpl w:val="15D028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EA"/>
    <w:rsid w:val="00035DE8"/>
    <w:rsid w:val="00040A25"/>
    <w:rsid w:val="00045900"/>
    <w:rsid w:val="0006617F"/>
    <w:rsid w:val="000715F2"/>
    <w:rsid w:val="0007425C"/>
    <w:rsid w:val="000849E6"/>
    <w:rsid w:val="00090232"/>
    <w:rsid w:val="000A2E96"/>
    <w:rsid w:val="000A4BB3"/>
    <w:rsid w:val="000B5630"/>
    <w:rsid w:val="000F5F90"/>
    <w:rsid w:val="001001A3"/>
    <w:rsid w:val="001245F4"/>
    <w:rsid w:val="00127654"/>
    <w:rsid w:val="001460E6"/>
    <w:rsid w:val="00190BE7"/>
    <w:rsid w:val="001C57B4"/>
    <w:rsid w:val="001C67EF"/>
    <w:rsid w:val="001D6B1F"/>
    <w:rsid w:val="001F7434"/>
    <w:rsid w:val="00206496"/>
    <w:rsid w:val="0021589F"/>
    <w:rsid w:val="0021613D"/>
    <w:rsid w:val="00227692"/>
    <w:rsid w:val="00235EB1"/>
    <w:rsid w:val="00247710"/>
    <w:rsid w:val="0025066F"/>
    <w:rsid w:val="002610A2"/>
    <w:rsid w:val="00276A1F"/>
    <w:rsid w:val="00276C3B"/>
    <w:rsid w:val="002A1F98"/>
    <w:rsid w:val="002C11B5"/>
    <w:rsid w:val="002C2637"/>
    <w:rsid w:val="002C50A3"/>
    <w:rsid w:val="002E5B02"/>
    <w:rsid w:val="002E6C85"/>
    <w:rsid w:val="002F492D"/>
    <w:rsid w:val="003017EB"/>
    <w:rsid w:val="003112EB"/>
    <w:rsid w:val="00312623"/>
    <w:rsid w:val="003346CA"/>
    <w:rsid w:val="00344FF0"/>
    <w:rsid w:val="003505CF"/>
    <w:rsid w:val="003572C7"/>
    <w:rsid w:val="00374836"/>
    <w:rsid w:val="00375944"/>
    <w:rsid w:val="00380841"/>
    <w:rsid w:val="00381055"/>
    <w:rsid w:val="003B5822"/>
    <w:rsid w:val="003B6ACB"/>
    <w:rsid w:val="003D5F04"/>
    <w:rsid w:val="003E2ACF"/>
    <w:rsid w:val="003F14C3"/>
    <w:rsid w:val="004165E6"/>
    <w:rsid w:val="00431100"/>
    <w:rsid w:val="00447681"/>
    <w:rsid w:val="00460154"/>
    <w:rsid w:val="00464478"/>
    <w:rsid w:val="004679AD"/>
    <w:rsid w:val="004A0103"/>
    <w:rsid w:val="004A5A72"/>
    <w:rsid w:val="004C66B5"/>
    <w:rsid w:val="005145E1"/>
    <w:rsid w:val="00522BAC"/>
    <w:rsid w:val="00544323"/>
    <w:rsid w:val="00565986"/>
    <w:rsid w:val="00566382"/>
    <w:rsid w:val="005829DE"/>
    <w:rsid w:val="005A5BCD"/>
    <w:rsid w:val="005D2CEB"/>
    <w:rsid w:val="005E2257"/>
    <w:rsid w:val="005F0CA3"/>
    <w:rsid w:val="005F3570"/>
    <w:rsid w:val="006137BA"/>
    <w:rsid w:val="00631E41"/>
    <w:rsid w:val="00640BAA"/>
    <w:rsid w:val="0065552F"/>
    <w:rsid w:val="00656D52"/>
    <w:rsid w:val="006634B6"/>
    <w:rsid w:val="00682B23"/>
    <w:rsid w:val="006A78B8"/>
    <w:rsid w:val="006D2565"/>
    <w:rsid w:val="006D5C9A"/>
    <w:rsid w:val="006E3B1B"/>
    <w:rsid w:val="006E7E1F"/>
    <w:rsid w:val="00707479"/>
    <w:rsid w:val="00711A20"/>
    <w:rsid w:val="00722F76"/>
    <w:rsid w:val="00730A93"/>
    <w:rsid w:val="007315F2"/>
    <w:rsid w:val="0073289D"/>
    <w:rsid w:val="0074204D"/>
    <w:rsid w:val="0074262A"/>
    <w:rsid w:val="00761C79"/>
    <w:rsid w:val="00774510"/>
    <w:rsid w:val="00775DB1"/>
    <w:rsid w:val="00777456"/>
    <w:rsid w:val="007A0A25"/>
    <w:rsid w:val="007B2D35"/>
    <w:rsid w:val="007C31C1"/>
    <w:rsid w:val="007D74EC"/>
    <w:rsid w:val="007E550A"/>
    <w:rsid w:val="00801A3C"/>
    <w:rsid w:val="00806386"/>
    <w:rsid w:val="008115DF"/>
    <w:rsid w:val="0082523C"/>
    <w:rsid w:val="00870A4C"/>
    <w:rsid w:val="00882D2C"/>
    <w:rsid w:val="008A54DA"/>
    <w:rsid w:val="008B1790"/>
    <w:rsid w:val="008B44C1"/>
    <w:rsid w:val="008B6BC8"/>
    <w:rsid w:val="008F5786"/>
    <w:rsid w:val="0091618D"/>
    <w:rsid w:val="00944E20"/>
    <w:rsid w:val="009530AB"/>
    <w:rsid w:val="00963948"/>
    <w:rsid w:val="00967BF1"/>
    <w:rsid w:val="00975F24"/>
    <w:rsid w:val="00977B06"/>
    <w:rsid w:val="00986756"/>
    <w:rsid w:val="00991A78"/>
    <w:rsid w:val="00991B89"/>
    <w:rsid w:val="009B5FEF"/>
    <w:rsid w:val="009B6EAC"/>
    <w:rsid w:val="009C4F60"/>
    <w:rsid w:val="009F1341"/>
    <w:rsid w:val="009F50D6"/>
    <w:rsid w:val="00A07104"/>
    <w:rsid w:val="00A14250"/>
    <w:rsid w:val="00A4184A"/>
    <w:rsid w:val="00A5142B"/>
    <w:rsid w:val="00A605FC"/>
    <w:rsid w:val="00A61524"/>
    <w:rsid w:val="00A73FC9"/>
    <w:rsid w:val="00AA27B2"/>
    <w:rsid w:val="00AC6253"/>
    <w:rsid w:val="00AE7C85"/>
    <w:rsid w:val="00B052E0"/>
    <w:rsid w:val="00B116E5"/>
    <w:rsid w:val="00B20947"/>
    <w:rsid w:val="00B20D2F"/>
    <w:rsid w:val="00B24B4A"/>
    <w:rsid w:val="00B27192"/>
    <w:rsid w:val="00B318A9"/>
    <w:rsid w:val="00B415C5"/>
    <w:rsid w:val="00B50965"/>
    <w:rsid w:val="00B51797"/>
    <w:rsid w:val="00B56D9C"/>
    <w:rsid w:val="00B60647"/>
    <w:rsid w:val="00B761B3"/>
    <w:rsid w:val="00B83D24"/>
    <w:rsid w:val="00B954DF"/>
    <w:rsid w:val="00BB26D2"/>
    <w:rsid w:val="00BB31AB"/>
    <w:rsid w:val="00BE2628"/>
    <w:rsid w:val="00C034BF"/>
    <w:rsid w:val="00C11F38"/>
    <w:rsid w:val="00C207E1"/>
    <w:rsid w:val="00C428F1"/>
    <w:rsid w:val="00C43DAB"/>
    <w:rsid w:val="00C5407C"/>
    <w:rsid w:val="00C61236"/>
    <w:rsid w:val="00C62107"/>
    <w:rsid w:val="00C6307E"/>
    <w:rsid w:val="00C66520"/>
    <w:rsid w:val="00C81B9D"/>
    <w:rsid w:val="00C942CE"/>
    <w:rsid w:val="00C96C32"/>
    <w:rsid w:val="00CD0787"/>
    <w:rsid w:val="00CD4DB1"/>
    <w:rsid w:val="00CD538F"/>
    <w:rsid w:val="00D00154"/>
    <w:rsid w:val="00D07747"/>
    <w:rsid w:val="00D14CAC"/>
    <w:rsid w:val="00D221A1"/>
    <w:rsid w:val="00D266F3"/>
    <w:rsid w:val="00D30C6A"/>
    <w:rsid w:val="00D37DFC"/>
    <w:rsid w:val="00D60553"/>
    <w:rsid w:val="00D670F7"/>
    <w:rsid w:val="00D7176B"/>
    <w:rsid w:val="00D95CF8"/>
    <w:rsid w:val="00DB09D0"/>
    <w:rsid w:val="00DD7E0D"/>
    <w:rsid w:val="00DE42EA"/>
    <w:rsid w:val="00DF6FE4"/>
    <w:rsid w:val="00E06C4F"/>
    <w:rsid w:val="00E276B5"/>
    <w:rsid w:val="00E50CA7"/>
    <w:rsid w:val="00E8557E"/>
    <w:rsid w:val="00E90A3A"/>
    <w:rsid w:val="00E951FC"/>
    <w:rsid w:val="00EA52A8"/>
    <w:rsid w:val="00EC239B"/>
    <w:rsid w:val="00EC356C"/>
    <w:rsid w:val="00ED197B"/>
    <w:rsid w:val="00ED377E"/>
    <w:rsid w:val="00ED4781"/>
    <w:rsid w:val="00ED7416"/>
    <w:rsid w:val="00EF11A5"/>
    <w:rsid w:val="00F12D08"/>
    <w:rsid w:val="00F13257"/>
    <w:rsid w:val="00F21280"/>
    <w:rsid w:val="00F32917"/>
    <w:rsid w:val="00F51072"/>
    <w:rsid w:val="00F661B7"/>
    <w:rsid w:val="00F73F83"/>
    <w:rsid w:val="00F75B31"/>
    <w:rsid w:val="00F76F63"/>
    <w:rsid w:val="00F90942"/>
    <w:rsid w:val="00F968F2"/>
    <w:rsid w:val="00FA6ED7"/>
    <w:rsid w:val="00FB1218"/>
    <w:rsid w:val="00FB3391"/>
    <w:rsid w:val="00FC0674"/>
    <w:rsid w:val="00FC425B"/>
    <w:rsid w:val="00FE0531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7A87C6D0-3BDA-4858-8BD7-56710B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\AppData\Local\Microsoft\Windows\INetCache\IE\1C96D474\405AIMS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098CD619-FFCA-45F1-B327-4B6BC7787A5F}"/>
</file>

<file path=customXml/itemProps2.xml><?xml version="1.0" encoding="utf-8"?>
<ds:datastoreItem xmlns:ds="http://schemas.openxmlformats.org/officeDocument/2006/customXml" ds:itemID="{C0870C16-37C7-47BC-A71A-69F6E62D8EE9}"/>
</file>

<file path=customXml/itemProps3.xml><?xml version="1.0" encoding="utf-8"?>
<ds:datastoreItem xmlns:ds="http://schemas.openxmlformats.org/officeDocument/2006/customXml" ds:itemID="{C927C7C5-C26A-4E79-AFD4-8A3811F6D616}"/>
</file>

<file path=docProps/app.xml><?xml version="1.0" encoding="utf-8"?>
<Properties xmlns="http://schemas.openxmlformats.org/officeDocument/2006/extended-properties" xmlns:vt="http://schemas.openxmlformats.org/officeDocument/2006/docPropsVTypes">
  <Template>405AIMS[1]</Template>
  <TotalTime>1</TotalTime>
  <Pages>1</Pages>
  <Words>223</Words>
  <Characters>1565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2008-09-29T16:33:00Z</cp:lastPrinted>
  <dcterms:created xsi:type="dcterms:W3CDTF">2020-08-25T12:42:00Z</dcterms:created>
  <dcterms:modified xsi:type="dcterms:W3CDTF">2020-08-25T12:42:00Z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244600</vt:r8>
  </property>
  <property fmtid="{D5CDD505-2E9C-101B-9397-08002B2CF9AE}" pid="4" name="MediaServiceImageTags">
    <vt:lpwstr/>
  </property>
</Properties>
</file>